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D56BCED" w:rsidP="0D56BCED" w:rsidRDefault="0D56BCED" w14:paraId="0C4C8DFC" w14:textId="090F6831">
      <w:pPr>
        <w:pStyle w:val="Heading1"/>
      </w:pPr>
      <w:r w:rsidRPr="0D56BCED" w:rsidR="0D56BCED">
        <w:rPr>
          <w:rFonts w:ascii="Comic Sans MS" w:hAnsi="Comic Sans MS" w:eastAsia="Comic Sans MS" w:cs="Comic Sans MS"/>
          <w:sz w:val="36"/>
          <w:szCs w:val="36"/>
        </w:rPr>
        <w:t>Kidspace Wrap Around Care</w:t>
      </w:r>
    </w:p>
    <w:p w:rsidRPr="00893B65" w:rsidR="00864A07" w:rsidP="00864A07" w:rsidRDefault="00864A07" w14:paraId="0DA33B23" w14:textId="77777777">
      <w:pPr>
        <w:pStyle w:val="Heading2"/>
        <w:spacing w:before="120" w:after="120"/>
        <w:jc w:val="center"/>
        <w:rPr>
          <w:rFonts w:ascii="Trebuchet MS" w:hAnsi="Trebuchet MS" w:cs="Arial"/>
          <w:b/>
          <w:color w:val="auto"/>
          <w:sz w:val="32"/>
          <w:szCs w:val="32"/>
        </w:rPr>
      </w:pPr>
      <w:r w:rsidRPr="00893B65">
        <w:rPr>
          <w:rFonts w:ascii="Trebuchet MS" w:hAnsi="Trebuchet MS" w:cs="Arial"/>
          <w:b/>
          <w:color w:val="auto"/>
          <w:sz w:val="32"/>
          <w:szCs w:val="32"/>
        </w:rPr>
        <w:t>Whistleblowing Policy</w:t>
      </w:r>
    </w:p>
    <w:p w:rsidR="00864A07" w:rsidP="00864A07" w:rsidRDefault="00864A07" w14:paraId="4A205786" w14:textId="77777777">
      <w:pPr>
        <w:jc w:val="center"/>
        <w:rPr>
          <w:rFonts w:ascii="Trebuchet MS" w:hAnsi="Trebuchet MS"/>
          <w:iCs/>
          <w:sz w:val="16"/>
          <w:szCs w:val="28"/>
        </w:rPr>
      </w:pPr>
    </w:p>
    <w:p w:rsidR="0D56BCED" w:rsidP="0D56BCED" w:rsidRDefault="0D56BCED" w14:paraId="716B954B" w14:textId="06368287">
      <w:pPr>
        <w:pStyle w:val="Header"/>
      </w:pPr>
      <w:r w:rsidRPr="0D56BCED" w:rsidR="0D56BCED">
        <w:rPr>
          <w:rFonts w:ascii="Trebuchet MS" w:hAnsi="Trebuchet MS" w:eastAsia="Trebuchet MS" w:cs="Trebuchet MS"/>
          <w:sz w:val="22"/>
          <w:szCs w:val="22"/>
        </w:rPr>
        <w:t>Kidspace Wrap Around Care is committed to the highest standards of openness, honesty, safeguarding, probity and accountability across all of its wrap around care settings. If a member of staff, volunteer, student or other person working on behalf of the organisation discovers evidence of malpractice, poor practice, unsafe practice or wrongdoing, they are encouraged to disclose this information without fear of reprisal. This policy applies across all Kidspace Wrap Around Care settings and is intended to cover concerns such as:</w:t>
      </w:r>
    </w:p>
    <w:p w:rsidR="00864A07" w:rsidP="00864A07" w:rsidRDefault="00864A07" w14:paraId="5815AD73" w14:textId="77777777">
      <w:pPr>
        <w:numPr>
          <w:ilvl w:val="0"/>
          <w:numId w:val="3"/>
        </w:numPr>
        <w:rPr>
          <w:rFonts w:ascii="Trebuchet MS" w:hAnsi="Trebuchet MS"/>
          <w:sz w:val="22"/>
          <w:szCs w:val="22"/>
        </w:rPr>
      </w:pPr>
      <w:r>
        <w:rPr>
          <w:rFonts w:ascii="Trebuchet MS" w:hAnsi="Trebuchet MS"/>
          <w:sz w:val="22"/>
          <w:szCs w:val="22"/>
        </w:rPr>
        <w:t xml:space="preserve">Financial malpractice or fraud </w:t>
      </w:r>
    </w:p>
    <w:p w:rsidR="00864A07" w:rsidP="00864A07" w:rsidRDefault="00864A07" w14:paraId="52ABFF66" w14:textId="77777777">
      <w:pPr>
        <w:numPr>
          <w:ilvl w:val="0"/>
          <w:numId w:val="3"/>
        </w:numPr>
        <w:rPr>
          <w:rFonts w:ascii="Trebuchet MS" w:hAnsi="Trebuchet MS"/>
          <w:sz w:val="22"/>
          <w:szCs w:val="22"/>
        </w:rPr>
      </w:pPr>
      <w:r>
        <w:rPr>
          <w:rFonts w:ascii="Trebuchet MS" w:hAnsi="Trebuchet MS"/>
          <w:sz w:val="22"/>
          <w:szCs w:val="22"/>
        </w:rPr>
        <w:t xml:space="preserve">Failure to comply with a legal obligation </w:t>
      </w:r>
    </w:p>
    <w:p w:rsidR="00864A07" w:rsidP="00864A07" w:rsidRDefault="00864A07" w14:paraId="2B71D81A" w14:textId="77777777">
      <w:pPr>
        <w:numPr>
          <w:ilvl w:val="0"/>
          <w:numId w:val="3"/>
        </w:numPr>
        <w:rPr>
          <w:rFonts w:ascii="Trebuchet MS" w:hAnsi="Trebuchet MS"/>
          <w:sz w:val="22"/>
          <w:szCs w:val="22"/>
        </w:rPr>
      </w:pPr>
      <w:r>
        <w:rPr>
          <w:rFonts w:ascii="Trebuchet MS" w:hAnsi="Trebuchet MS"/>
          <w:sz w:val="22"/>
          <w:szCs w:val="22"/>
        </w:rPr>
        <w:t xml:space="preserve">Dangers to health and safety or the environment </w:t>
      </w:r>
    </w:p>
    <w:p w:rsidRPr="0014585C" w:rsidR="00864A07" w:rsidP="00864A07" w:rsidRDefault="00864A07" w14:paraId="497C3470" w14:textId="77777777">
      <w:pPr>
        <w:numPr>
          <w:ilvl w:val="0"/>
          <w:numId w:val="3"/>
        </w:numPr>
        <w:rPr>
          <w:rFonts w:ascii="Trebuchet MS" w:hAnsi="Trebuchet MS"/>
          <w:sz w:val="22"/>
          <w:szCs w:val="22"/>
        </w:rPr>
      </w:pPr>
      <w:r w:rsidRPr="0014585C">
        <w:rPr>
          <w:rFonts w:ascii="Trebuchet MS" w:hAnsi="Trebuchet MS"/>
          <w:sz w:val="22"/>
          <w:szCs w:val="22"/>
        </w:rPr>
        <w:t xml:space="preserve">Criminal activity </w:t>
      </w:r>
    </w:p>
    <w:p w:rsidRPr="0014585C" w:rsidR="00864A07" w:rsidP="00864A07" w:rsidRDefault="00864A07" w14:paraId="3CF4821B" w14:textId="77777777">
      <w:pPr>
        <w:numPr>
          <w:ilvl w:val="0"/>
          <w:numId w:val="3"/>
        </w:numPr>
        <w:rPr>
          <w:rFonts w:ascii="Trebuchet MS" w:hAnsi="Trebuchet MS"/>
          <w:sz w:val="22"/>
          <w:szCs w:val="22"/>
        </w:rPr>
      </w:pPr>
      <w:r w:rsidRPr="0014585C">
        <w:rPr>
          <w:rFonts w:ascii="Trebuchet MS" w:hAnsi="Trebuchet MS"/>
          <w:sz w:val="22"/>
          <w:szCs w:val="22"/>
        </w:rPr>
        <w:t xml:space="preserve">Improper conduct or unethical behaviour </w:t>
      </w:r>
    </w:p>
    <w:p w:rsidRPr="0014585C" w:rsidR="00DF2F9F" w:rsidP="00864A07" w:rsidRDefault="00DF2F9F" w14:paraId="68199F98" w14:textId="1C8EEE1F">
      <w:pPr>
        <w:numPr>
          <w:ilvl w:val="0"/>
          <w:numId w:val="3"/>
        </w:numPr>
        <w:rPr>
          <w:rFonts w:ascii="Trebuchet MS" w:hAnsi="Trebuchet MS"/>
          <w:sz w:val="22"/>
          <w:szCs w:val="22"/>
        </w:rPr>
      </w:pPr>
      <w:r w:rsidRPr="0014585C">
        <w:rPr>
          <w:rFonts w:ascii="Trebuchet MS" w:hAnsi="Trebuchet MS"/>
          <w:sz w:val="22"/>
          <w:szCs w:val="22"/>
        </w:rPr>
        <w:t xml:space="preserve">Sexual harassment </w:t>
      </w:r>
    </w:p>
    <w:p w:rsidRPr="0014585C" w:rsidR="00864A07" w:rsidP="00864A07" w:rsidRDefault="00864A07" w14:paraId="0B302259" w14:textId="77777777">
      <w:pPr>
        <w:rPr>
          <w:rFonts w:ascii="Trebuchet MS" w:hAnsi="Trebuchet MS"/>
          <w:sz w:val="22"/>
          <w:szCs w:val="22"/>
        </w:rPr>
      </w:pPr>
    </w:p>
    <w:p w:rsidR="0D56BCED" w:rsidP="0D56BCED" w:rsidRDefault="0D56BCED" w14:paraId="6FD6CA85" w14:textId="0EAC973B">
      <w:pPr>
        <w:pStyle w:val="Normal"/>
      </w:pPr>
      <w:r w:rsidRPr="0D56BCED" w:rsidR="0D56BCED">
        <w:rPr>
          <w:rFonts w:ascii="Trebuchet MS" w:hAnsi="Trebuchet MS" w:eastAsia="Trebuchet MS" w:cs="Trebuchet MS"/>
          <w:sz w:val="22"/>
          <w:szCs w:val="22"/>
        </w:rPr>
        <w:t>This policy should not be used to question routine business decisions or to raise matters that are more appropriately dealt with under another policy, such as staff grievance, disciplinary, dignity at work, equality, safeguarding or complaints procedures. Any allegation relating to child protection or the welfare of a child will be dealt with in line with the Safeguarding Children policy and referred to the appropriate external agency where required. Any concerns relating only to an individual member of staff’s own employment conditions should normally be raised through the Staff Grievance policy. All staff, volunteers and students will be made aware of these whistleblowing procedures as part of induction, safeguarding training and ongoing supervision.</w:t>
      </w:r>
    </w:p>
    <w:p w:rsidRPr="0014585C" w:rsidR="003F426D" w:rsidP="00864A07" w:rsidRDefault="003F426D" w14:paraId="02565C3A" w14:textId="77777777">
      <w:pPr>
        <w:rPr>
          <w:rFonts w:ascii="Trebuchet MS" w:hAnsi="Trebuchet MS"/>
          <w:color w:val="000000"/>
          <w:sz w:val="22"/>
          <w:szCs w:val="22"/>
        </w:rPr>
      </w:pPr>
    </w:p>
    <w:p w:rsidRPr="0014585C" w:rsidR="003F426D" w:rsidP="003F426D" w:rsidRDefault="003F426D" w14:paraId="5509CEAB" w14:textId="77777777">
      <w:pPr>
        <w:rPr>
          <w:rFonts w:ascii="Trebuchet MS" w:hAnsi="Trebuchet MS" w:cs="Arial"/>
          <w:b/>
          <w:bCs/>
          <w:sz w:val="22"/>
          <w:szCs w:val="22"/>
        </w:rPr>
      </w:pPr>
      <w:r w:rsidRPr="0D56BCED" w:rsidR="2E213C9A">
        <w:rPr>
          <w:rFonts w:ascii="Trebuchet MS" w:hAnsi="Trebuchet MS" w:cs="Arial"/>
          <w:b w:val="1"/>
          <w:bCs w:val="1"/>
          <w:sz w:val="22"/>
          <w:szCs w:val="22"/>
        </w:rPr>
        <w:t>Sexual Harassment</w:t>
      </w:r>
    </w:p>
    <w:p w:rsidR="0D56BCED" w:rsidP="0D56BCED" w:rsidRDefault="0D56BCED" w14:paraId="2F68BCEF" w14:textId="7568D6BC">
      <w:pPr>
        <w:pStyle w:val="Normal"/>
      </w:pPr>
      <w:r w:rsidRPr="0D56BCED" w:rsidR="0D56BCED">
        <w:rPr>
          <w:rFonts w:ascii="Trebuchet MS" w:hAnsi="Trebuchet MS" w:eastAsia="Trebuchet MS" w:cs="Trebuchet MS"/>
          <w:sz w:val="22"/>
          <w:szCs w:val="22"/>
        </w:rPr>
        <w:t>Kidspace Wrap Around Care recognises that sexual harassment is a serious matter and may constitute a qualifying disclosure under whistleblowing legislation where it is in the public interest to report it.</w:t>
      </w:r>
    </w:p>
    <w:p w:rsidRPr="0014585C" w:rsidR="003F426D" w:rsidP="003F426D" w:rsidRDefault="003F426D" w14:paraId="6265FC7A" w14:textId="77777777">
      <w:pPr>
        <w:rPr>
          <w:rFonts w:ascii="Trebuchet MS" w:hAnsi="Trebuchet MS" w:cs="Arial"/>
          <w:sz w:val="22"/>
          <w:szCs w:val="22"/>
        </w:rPr>
      </w:pPr>
      <w:r w:rsidRPr="0014585C">
        <w:rPr>
          <w:rFonts w:ascii="Trebuchet MS" w:hAnsi="Trebuchet MS" w:cs="Arial"/>
          <w:sz w:val="22"/>
          <w:szCs w:val="22"/>
        </w:rPr>
        <w:t>Sexual harassment will be explicitly treated as a concern that can be raised through this Whistleblowing Policy. This includes, but is not limited to, unwanted conduct of a sexual nature that violates an individual’s dignity or creates an intimidating, hostile, degrading, humiliating, or offensive environment.</w:t>
      </w:r>
    </w:p>
    <w:p w:rsidRPr="0014585C" w:rsidR="003F426D" w:rsidP="003F426D" w:rsidRDefault="003F426D" w14:paraId="7D93BC64" w14:textId="77777777">
      <w:pPr>
        <w:rPr>
          <w:rFonts w:ascii="Trebuchet MS" w:hAnsi="Trebuchet MS" w:cs="Arial"/>
          <w:sz w:val="22"/>
          <w:szCs w:val="22"/>
        </w:rPr>
      </w:pPr>
      <w:r w:rsidRPr="0014585C">
        <w:rPr>
          <w:rFonts w:ascii="Trebuchet MS" w:hAnsi="Trebuchet MS" w:cs="Arial"/>
          <w:sz w:val="22"/>
          <w:szCs w:val="22"/>
        </w:rPr>
        <w:t>All staff, volunteers, and stakeholders are encouraged to report any concerns relating to sexual harassment through the whistleblowing reporting routes outlined in this policy. Reports can be made confidentially and will be taken seriously, investigated promptly, and handled sensitively.</w:t>
      </w:r>
    </w:p>
    <w:p w:rsidRPr="0014585C" w:rsidR="003F426D" w:rsidP="003F426D" w:rsidRDefault="003F426D" w14:paraId="27AF53FF" w14:textId="77777777">
      <w:pPr>
        <w:rPr>
          <w:rFonts w:ascii="Trebuchet MS" w:hAnsi="Trebuchet MS" w:cs="Arial"/>
          <w:sz w:val="22"/>
          <w:szCs w:val="22"/>
        </w:rPr>
      </w:pPr>
      <w:r w:rsidRPr="0014585C">
        <w:rPr>
          <w:rFonts w:ascii="Trebuchet MS" w:hAnsi="Trebuchet MS" w:cs="Arial"/>
          <w:sz w:val="22"/>
          <w:szCs w:val="22"/>
        </w:rPr>
        <w:t>Clear reporting routes are in place to ensure individuals feel safe and supported when raising concerns. These include reporting to a designated safeguarding lead, senior manager, or via any confidential reporting mechanisms available within the organisation.</w:t>
      </w:r>
    </w:p>
    <w:p w:rsidRPr="0014585C" w:rsidR="003F426D" w:rsidP="003F426D" w:rsidRDefault="003F426D" w14:paraId="0C36274B" w14:textId="77777777">
      <w:pPr>
        <w:rPr>
          <w:rFonts w:ascii="Trebuchet MS" w:hAnsi="Trebuchet MS" w:cs="Arial"/>
          <w:sz w:val="22"/>
          <w:szCs w:val="22"/>
        </w:rPr>
      </w:pPr>
      <w:r w:rsidRPr="0014585C">
        <w:rPr>
          <w:rFonts w:ascii="Trebuchet MS" w:hAnsi="Trebuchet MS" w:cs="Arial"/>
          <w:sz w:val="22"/>
          <w:szCs w:val="22"/>
        </w:rPr>
        <w:t>Employers have a duty to take all reasonable steps to prevent harassment, including harassment by third parties such as clients, contractors, and service users. The organisation is committed to a proactive approach to compliance and will:</w:t>
      </w:r>
    </w:p>
    <w:p w:rsidRPr="0014585C" w:rsidR="003F426D" w:rsidP="003F426D" w:rsidRDefault="003F426D" w14:paraId="148E30EE" w14:textId="77777777">
      <w:pPr>
        <w:numPr>
          <w:ilvl w:val="0"/>
          <w:numId w:val="6"/>
        </w:numPr>
        <w:rPr>
          <w:rFonts w:ascii="Trebuchet MS" w:hAnsi="Trebuchet MS" w:cs="Arial"/>
          <w:sz w:val="22"/>
          <w:szCs w:val="22"/>
        </w:rPr>
      </w:pPr>
      <w:r w:rsidRPr="0D56BCED" w:rsidR="2E213C9A">
        <w:rPr>
          <w:rFonts w:ascii="Trebuchet MS" w:hAnsi="Trebuchet MS" w:cs="Arial"/>
          <w:sz w:val="22"/>
          <w:szCs w:val="22"/>
        </w:rPr>
        <w:t xml:space="preserve">maintain and regularly review robust anti-harassment policies; </w:t>
      </w:r>
    </w:p>
    <w:p w:rsidR="0D56BCED" w:rsidP="0D56BCED" w:rsidRDefault="0D56BCED" w14:paraId="300D4104" w14:textId="26E27843">
      <w:pPr>
        <w:pStyle w:val="ListParagraph"/>
        <w:numPr>
          <w:ilvl w:val="0"/>
          <w:numId w:val="6"/>
        </w:numPr>
        <w:rPr/>
      </w:pPr>
      <w:r w:rsidRPr="0D56BCED" w:rsidR="0D56BCED">
        <w:rPr>
          <w:rFonts w:ascii="Trebuchet MS" w:hAnsi="Trebuchet MS" w:eastAsia="Trebuchet MS" w:cs="Trebuchet MS"/>
          <w:sz w:val="22"/>
          <w:szCs w:val="22"/>
        </w:rPr>
        <w:t>provide appropriate induction, safeguarding and workplace conduct training to staff, volunteers and students, and refresh this through supervision, team meetings and policy reviews;</w:t>
      </w:r>
    </w:p>
    <w:p w:rsidRPr="0014585C" w:rsidR="003F426D" w:rsidP="003F426D" w:rsidRDefault="003F426D" w14:paraId="17BDF530" w14:textId="77777777">
      <w:pPr>
        <w:numPr>
          <w:ilvl w:val="0"/>
          <w:numId w:val="6"/>
        </w:numPr>
        <w:rPr>
          <w:rFonts w:ascii="Trebuchet MS" w:hAnsi="Trebuchet MS" w:cs="Arial"/>
          <w:sz w:val="22"/>
          <w:szCs w:val="22"/>
        </w:rPr>
      </w:pPr>
      <w:r w:rsidRPr="0014585C">
        <w:rPr>
          <w:rFonts w:ascii="Trebuchet MS" w:hAnsi="Trebuchet MS" w:cs="Arial"/>
          <w:sz w:val="22"/>
          <w:szCs w:val="22"/>
        </w:rPr>
        <w:t xml:space="preserve">assess and mitigate risks, including those arising from third-party interactions. </w:t>
      </w:r>
    </w:p>
    <w:p w:rsidRPr="0014585C" w:rsidR="000D0722" w:rsidP="003F426D" w:rsidRDefault="000D0722" w14:paraId="7965D148" w14:textId="77777777">
      <w:pPr>
        <w:rPr>
          <w:rFonts w:ascii="Trebuchet MS" w:hAnsi="Trebuchet MS" w:cs="Arial"/>
          <w:sz w:val="22"/>
          <w:szCs w:val="22"/>
        </w:rPr>
      </w:pPr>
    </w:p>
    <w:p w:rsidR="0D56BCED" w:rsidP="0D56BCED" w:rsidRDefault="0D56BCED" w14:paraId="71D195DE" w14:textId="6D71261C">
      <w:pPr>
        <w:pStyle w:val="Normal"/>
      </w:pPr>
      <w:r w:rsidRPr="0D56BCED" w:rsidR="0D56BCED">
        <w:rPr>
          <w:rFonts w:ascii="Trebuchet MS" w:hAnsi="Trebuchet MS" w:eastAsia="Trebuchet MS" w:cs="Trebuchet MS"/>
          <w:sz w:val="22"/>
          <w:szCs w:val="22"/>
        </w:rPr>
        <w:t>Kidspace Wrap Around Care is committed to protecting individuals who raise concerns in good faith from victimisation, retaliation or detriment.</w:t>
      </w:r>
    </w:p>
    <w:p w:rsidR="003F426D" w:rsidP="003F426D" w:rsidRDefault="003F426D" w14:paraId="62ED0C23" w14:textId="77777777">
      <w:pPr>
        <w:rPr>
          <w:rFonts w:ascii="Trebuchet MS" w:hAnsi="Trebuchet MS" w:cs="Arial"/>
          <w:sz w:val="22"/>
          <w:szCs w:val="22"/>
        </w:rPr>
      </w:pPr>
    </w:p>
    <w:p w:rsidR="003F426D" w:rsidP="003F426D" w:rsidRDefault="003F426D" w14:paraId="4219DEF0" w14:textId="77777777">
      <w:pPr>
        <w:rPr>
          <w:rFonts w:ascii="Trebuchet MS" w:hAnsi="Trebuchet MS" w:cs="Arial"/>
          <w:sz w:val="22"/>
          <w:szCs w:val="22"/>
        </w:rPr>
      </w:pPr>
    </w:p>
    <w:p w:rsidRPr="003F426D" w:rsidR="003F426D" w:rsidP="003F426D" w:rsidRDefault="003F426D" w14:paraId="5E3B5FBC" w14:textId="77777777">
      <w:pPr>
        <w:rPr>
          <w:rFonts w:ascii="Trebuchet MS" w:hAnsi="Trebuchet MS" w:cs="Arial"/>
          <w:sz w:val="22"/>
          <w:szCs w:val="22"/>
        </w:rPr>
      </w:pPr>
    </w:p>
    <w:p w:rsidRPr="003F426D" w:rsidR="003F426D" w:rsidP="00864A07" w:rsidRDefault="003F426D" w14:paraId="59A785F9" w14:textId="77777777">
      <w:pPr>
        <w:rPr>
          <w:rFonts w:ascii="Trebuchet MS" w:hAnsi="Trebuchet MS" w:cs="Arial"/>
          <w:sz w:val="22"/>
          <w:szCs w:val="22"/>
          <w:lang w:val="en-US"/>
        </w:rPr>
      </w:pPr>
    </w:p>
    <w:p w:rsidR="00864A07" w:rsidP="00864A07" w:rsidRDefault="00864A07" w14:paraId="02BBD847" w14:textId="77777777">
      <w:pPr>
        <w:rPr>
          <w:rStyle w:val="Strong"/>
          <w:rFonts w:ascii="Trebuchet MS" w:hAnsi="Trebuchet MS"/>
          <w:color w:val="000080"/>
        </w:rPr>
      </w:pPr>
    </w:p>
    <w:p w:rsidR="004433EA" w:rsidP="00864A07" w:rsidRDefault="004433EA" w14:paraId="14A4FE6C" w14:textId="77777777">
      <w:pPr>
        <w:rPr>
          <w:rStyle w:val="Strong"/>
          <w:rFonts w:ascii="Trebuchet MS" w:hAnsi="Trebuchet MS"/>
          <w:color w:val="000080"/>
        </w:rPr>
      </w:pPr>
    </w:p>
    <w:p w:rsidR="004433EA" w:rsidP="00864A07" w:rsidRDefault="004433EA" w14:paraId="47268A10" w14:textId="77777777">
      <w:pPr>
        <w:rPr>
          <w:rStyle w:val="Strong"/>
          <w:rFonts w:ascii="Trebuchet MS" w:hAnsi="Trebuchet MS"/>
          <w:color w:val="000080"/>
        </w:rPr>
      </w:pPr>
    </w:p>
    <w:p w:rsidRPr="003F426D" w:rsidR="004433EA" w:rsidP="00864A07" w:rsidRDefault="004433EA" w14:paraId="79D7D937" w14:textId="77777777">
      <w:pPr>
        <w:rPr>
          <w:rStyle w:val="Strong"/>
          <w:rFonts w:ascii="Trebuchet MS" w:hAnsi="Trebuchet MS"/>
          <w:color w:val="000080"/>
        </w:rPr>
      </w:pPr>
    </w:p>
    <w:p w:rsidR="0D56BCED" w:rsidP="0D56BCED" w:rsidRDefault="0D56BCED" w14:paraId="7AE706B6" w14:textId="0E0220D9">
      <w:pPr>
        <w:pStyle w:val="Heading3"/>
      </w:pPr>
      <w:r w:rsidRPr="0D56BCED" w:rsidR="0D56BCED">
        <w:rPr>
          <w:rFonts w:ascii="Arial" w:hAnsi="Arial" w:eastAsia="Arial" w:cs="Arial"/>
          <w:b w:val="1"/>
          <w:bCs w:val="1"/>
        </w:rPr>
        <w:t>Aims of this policy</w:t>
      </w:r>
    </w:p>
    <w:p w:rsidR="0D56BCED" w:rsidP="0D56BCED" w:rsidRDefault="0D56BCED" w14:paraId="7B68AB0F" w14:textId="5AC196AC">
      <w:pPr>
        <w:pStyle w:val="ListParagraph"/>
        <w:numPr>
          <w:ilvl w:val="0"/>
          <w:numId w:val="7"/>
        </w:numPr>
        <w:rPr/>
      </w:pPr>
      <w:r w:rsidRPr="0D56BCED" w:rsidR="0D56BCED">
        <w:rPr>
          <w:rFonts w:ascii="Trebuchet MS" w:hAnsi="Trebuchet MS" w:eastAsia="Trebuchet MS" w:cs="Trebuchet MS"/>
          <w:sz w:val="22"/>
          <w:szCs w:val="22"/>
        </w:rPr>
        <w:t>to ensure staff, volunteers and students know when and how to raise concerns about poor or unsafe practice;</w:t>
      </w:r>
    </w:p>
    <w:p w:rsidR="0D56BCED" w:rsidP="0D56BCED" w:rsidRDefault="0D56BCED" w14:paraId="1AF98DD3" w14:textId="4D47B4DD">
      <w:pPr>
        <w:pStyle w:val="ListParagraph"/>
        <w:numPr>
          <w:ilvl w:val="1"/>
          <w:numId w:val="7"/>
        </w:numPr>
        <w:rPr/>
      </w:pPr>
      <w:r w:rsidRPr="0D56BCED" w:rsidR="0D56BCED">
        <w:rPr>
          <w:rFonts w:ascii="Trebuchet MS" w:hAnsi="Trebuchet MS" w:eastAsia="Trebuchet MS" w:cs="Trebuchet MS"/>
          <w:sz w:val="22"/>
          <w:szCs w:val="22"/>
        </w:rPr>
        <w:t>to make clear that concerns will be taken seriously and handled fairly, promptly and sensitively;</w:t>
      </w:r>
    </w:p>
    <w:p w:rsidR="0D56BCED" w:rsidP="0D56BCED" w:rsidRDefault="0D56BCED" w14:paraId="6992891C" w14:textId="1C9C31F1">
      <w:pPr>
        <w:pStyle w:val="ListParagraph"/>
        <w:numPr>
          <w:ilvl w:val="1"/>
          <w:numId w:val="7"/>
        </w:numPr>
        <w:rPr/>
      </w:pPr>
      <w:r w:rsidRPr="0D56BCED" w:rsidR="0D56BCED">
        <w:rPr>
          <w:rFonts w:ascii="Trebuchet MS" w:hAnsi="Trebuchet MS" w:eastAsia="Trebuchet MS" w:cs="Trebuchet MS"/>
          <w:sz w:val="22"/>
          <w:szCs w:val="22"/>
        </w:rPr>
        <w:t>to support a culture where everyone feels able to speak up to protect children, colleagues, families and the organisation;</w:t>
      </w:r>
    </w:p>
    <w:p w:rsidR="0D56BCED" w:rsidP="0D56BCED" w:rsidRDefault="0D56BCED" w14:paraId="49263B34" w14:textId="34D53538">
      <w:pPr>
        <w:pStyle w:val="ListParagraph"/>
        <w:numPr>
          <w:ilvl w:val="1"/>
          <w:numId w:val="7"/>
        </w:numPr>
        <w:rPr/>
      </w:pPr>
      <w:r w:rsidRPr="0D56BCED" w:rsidR="0D56BCED">
        <w:rPr>
          <w:rFonts w:ascii="Trebuchet MS" w:hAnsi="Trebuchet MS" w:eastAsia="Trebuchet MS" w:cs="Trebuchet MS"/>
          <w:sz w:val="22"/>
          <w:szCs w:val="22"/>
        </w:rPr>
        <w:t>to ensure whistleblowing procedures are consistent across all Kidspace Wrap Around Care settings.</w:t>
      </w:r>
    </w:p>
    <w:p w:rsidRPr="003F426D" w:rsidR="00864A07" w:rsidP="00864A07" w:rsidRDefault="00864A07" w14:paraId="7B64D123" w14:textId="77777777">
      <w:pPr>
        <w:pStyle w:val="Header"/>
        <w:spacing w:before="0" w:beforeAutospacing="0" w:after="120" w:afterAutospacing="0"/>
        <w:rPr>
          <w:rFonts w:ascii="Trebuchet MS" w:hAnsi="Trebuchet MS" w:cs="Arial"/>
          <w:color w:val="000000"/>
          <w:lang w:val="en-GB"/>
        </w:rPr>
      </w:pPr>
      <w:r w:rsidRPr="0D56BCED" w:rsidR="13F99861">
        <w:rPr>
          <w:rFonts w:ascii="Trebuchet MS" w:hAnsi="Trebuchet MS" w:cs="Arial"/>
          <w:b w:val="1"/>
          <w:bCs w:val="1"/>
          <w:color w:val="000000" w:themeColor="text1" w:themeTint="FF" w:themeShade="FF"/>
          <w:lang w:val="en-GB"/>
        </w:rPr>
        <w:t>Raising a concern</w:t>
      </w:r>
    </w:p>
    <w:p w:rsidR="0D56BCED" w:rsidP="0D56BCED" w:rsidRDefault="0D56BCED" w14:paraId="0003DB42" w14:textId="18135DAF">
      <w:pPr>
        <w:pStyle w:val="Normal"/>
      </w:pPr>
      <w:r w:rsidRPr="0D56BCED" w:rsidR="0D56BCED">
        <w:rPr>
          <w:rFonts w:ascii="Trebuchet MS" w:hAnsi="Trebuchet MS" w:eastAsia="Trebuchet MS" w:cs="Trebuchet MS"/>
          <w:sz w:val="22"/>
          <w:szCs w:val="22"/>
        </w:rPr>
        <w:t>Where possible, the person raising the concern should put their concern in writing, setting out the background to the situation, names, dates, locations and any supporting information. However, concerns may also be raised verbally if the person feels unable to put them in writing or if the matter is urgent.</w:t>
      </w:r>
    </w:p>
    <w:p w:rsidR="00864A07" w:rsidP="00864A07" w:rsidRDefault="00864A07" w14:paraId="675CA951" w14:textId="77777777">
      <w:pPr>
        <w:pStyle w:val="Header"/>
        <w:spacing w:before="0" w:beforeAutospacing="0" w:after="0" w:afterAutospacing="0"/>
        <w:rPr>
          <w:rFonts w:ascii="Trebuchet MS" w:hAnsi="Trebuchet MS" w:cs="Times"/>
          <w:color w:val="000000"/>
          <w:sz w:val="22"/>
          <w:szCs w:val="22"/>
          <w:lang w:val="en-GB"/>
        </w:rPr>
      </w:pPr>
    </w:p>
    <w:p w:rsidR="0D56BCED" w:rsidP="0D56BCED" w:rsidRDefault="0D56BCED" w14:paraId="78EAD834" w14:textId="7C927B21">
      <w:pPr>
        <w:pStyle w:val="Header"/>
      </w:pPr>
      <w:r w:rsidRPr="0D56BCED" w:rsidR="0D56BCED">
        <w:rPr>
          <w:rFonts w:ascii="Trebuchet MS" w:hAnsi="Trebuchet MS" w:eastAsia="Trebuchet MS" w:cs="Trebuchet MS"/>
          <w:sz w:val="22"/>
          <w:szCs w:val="22"/>
        </w:rPr>
        <w:t>In the first instance, concerns should normally be raised with the Setting Manager. If the concern relates to the Setting Manager, or if the person raising the concern does not feel able to speak to the Setting Manager, the concern should be raised with a senior manager, the organisation’s safeguarding lead, or another appropriate senior person within Kidspace Wrap Around Care.</w:t>
      </w:r>
    </w:p>
    <w:p w:rsidR="00864A07" w:rsidP="00864A07" w:rsidRDefault="00864A07" w14:paraId="6BD5986B" w14:textId="77777777">
      <w:pPr>
        <w:pStyle w:val="Header"/>
        <w:spacing w:before="0" w:beforeAutospacing="0" w:after="0" w:afterAutospacing="0"/>
        <w:rPr>
          <w:rFonts w:ascii="Trebuchet MS" w:hAnsi="Trebuchet MS" w:cs="Times"/>
          <w:sz w:val="22"/>
          <w:szCs w:val="22"/>
          <w:lang w:val="en-GB"/>
        </w:rPr>
      </w:pPr>
    </w:p>
    <w:p w:rsidR="0D56BCED" w:rsidP="0D56BCED" w:rsidRDefault="0D56BCED" w14:paraId="23FBFDC8" w14:textId="5C2AC199">
      <w:pPr>
        <w:pStyle w:val="Header"/>
      </w:pPr>
      <w:r w:rsidRPr="0D56BCED" w:rsidR="0D56BCED">
        <w:rPr>
          <w:rFonts w:ascii="Trebuchet MS" w:hAnsi="Trebuchet MS" w:eastAsia="Trebuchet MS" w:cs="Trebuchet MS"/>
          <w:sz w:val="22"/>
          <w:szCs w:val="22"/>
        </w:rPr>
        <w:t>If the person or organisation contacted is unwilling or unable to act on the concern, or if the concern is urgent or serious, the staff member should contact an appropriate external body, including:</w:t>
      </w:r>
    </w:p>
    <w:p w:rsidR="0D56BCED" w:rsidP="0D56BCED" w:rsidRDefault="0D56BCED" w14:paraId="00702990" w14:textId="18795F91">
      <w:pPr>
        <w:pStyle w:val="ListParagraph"/>
        <w:numPr>
          <w:ilvl w:val="0"/>
          <w:numId w:val="4"/>
        </w:numPr>
        <w:rPr/>
      </w:pPr>
      <w:r w:rsidRPr="0D56BCED" w:rsidR="0D56BCED">
        <w:rPr>
          <w:rFonts w:ascii="Trebuchet MS" w:hAnsi="Trebuchet MS" w:eastAsia="Trebuchet MS" w:cs="Trebuchet MS"/>
          <w:sz w:val="22"/>
          <w:szCs w:val="22"/>
        </w:rPr>
        <w:t>Ofsted, where the concern relates to the safe and effective running of a registered childcare setting;</w:t>
      </w:r>
    </w:p>
    <w:p w:rsidR="0D56BCED" w:rsidP="0D56BCED" w:rsidRDefault="0D56BCED" w14:paraId="7D83FFD6" w14:textId="11C9F809">
      <w:pPr>
        <w:pStyle w:val="ListParagraph"/>
        <w:numPr>
          <w:ilvl w:val="0"/>
          <w:numId w:val="4"/>
        </w:numPr>
        <w:rPr/>
      </w:pPr>
      <w:r w:rsidRPr="0D56BCED" w:rsidR="0D56BCED">
        <w:rPr>
          <w:rFonts w:ascii="Trebuchet MS" w:hAnsi="Trebuchet MS" w:eastAsia="Trebuchet MS" w:cs="Trebuchet MS"/>
          <w:sz w:val="22"/>
          <w:szCs w:val="22"/>
        </w:rPr>
        <w:t>the relevant Local Authority Designated Officer or local safeguarding partnership, where the concern relates to safeguarding, child protection or an allegation against an adult working with children;</w:t>
      </w:r>
    </w:p>
    <w:p w:rsidR="0D56BCED" w:rsidP="0D56BCED" w:rsidRDefault="0D56BCED" w14:paraId="5B6D1B31" w14:textId="5939CC9D">
      <w:pPr>
        <w:pStyle w:val="ListParagraph"/>
        <w:numPr>
          <w:ilvl w:val="0"/>
          <w:numId w:val="4"/>
        </w:numPr>
        <w:rPr/>
      </w:pPr>
      <w:r w:rsidRPr="0D56BCED" w:rsidR="0D56BCED">
        <w:rPr>
          <w:rFonts w:ascii="Trebuchet MS" w:hAnsi="Trebuchet MS" w:eastAsia="Trebuchet MS" w:cs="Trebuchet MS"/>
          <w:sz w:val="22"/>
          <w:szCs w:val="22"/>
        </w:rPr>
        <w:t>the police, where a crime may have been committed or a child or adult is at immediate risk of harm.</w:t>
      </w:r>
    </w:p>
    <w:p w:rsidR="00864A07" w:rsidP="00864A07" w:rsidRDefault="00864A07" w14:paraId="6C90C198" w14:textId="77777777">
      <w:pPr>
        <w:pStyle w:val="Header"/>
        <w:spacing w:before="0" w:beforeAutospacing="0" w:after="0" w:afterAutospacing="0"/>
        <w:rPr>
          <w:rFonts w:ascii="Trebuchet MS" w:hAnsi="Trebuchet MS" w:cs="Times"/>
          <w:sz w:val="22"/>
          <w:szCs w:val="22"/>
          <w:lang w:val="en-GB"/>
        </w:rPr>
      </w:pPr>
    </w:p>
    <w:p w:rsidR="0D56BCED" w:rsidP="0D56BCED" w:rsidRDefault="0D56BCED" w14:paraId="53CA79FE" w14:textId="49C7F3B6">
      <w:pPr>
        <w:pStyle w:val="Header"/>
      </w:pPr>
      <w:r w:rsidRPr="0D56BCED" w:rsidR="0D56BCED">
        <w:rPr>
          <w:rFonts w:ascii="Trebuchet MS" w:hAnsi="Trebuchet MS" w:eastAsia="Trebuchet MS" w:cs="Trebuchet MS"/>
          <w:sz w:val="22"/>
          <w:szCs w:val="22"/>
        </w:rPr>
        <w:t>If the member of staff is uncertain about how to proceed, they may contact Protect for independent whistleblowing advice or the NSPCC Whistleblowing Advice Line for concerns about child protection practice.</w:t>
      </w:r>
    </w:p>
    <w:p w:rsidR="00374515" w:rsidP="00864A07" w:rsidRDefault="00374515" w14:paraId="640AB48B" w14:textId="77777777">
      <w:pPr>
        <w:pStyle w:val="Header"/>
        <w:spacing w:before="0" w:beforeAutospacing="0" w:after="0" w:afterAutospacing="0"/>
        <w:rPr>
          <w:rFonts w:ascii="Trebuchet MS" w:hAnsi="Trebuchet MS" w:cs="Times"/>
          <w:sz w:val="22"/>
          <w:szCs w:val="22"/>
          <w:lang w:val="en-GB"/>
        </w:rPr>
      </w:pPr>
    </w:p>
    <w:p w:rsidR="00374515" w:rsidP="00864A07" w:rsidRDefault="00374515" w14:paraId="3666B40D" w14:textId="77777777">
      <w:pPr>
        <w:pStyle w:val="Header"/>
        <w:spacing w:before="0" w:beforeAutospacing="0" w:after="0" w:afterAutospacing="0"/>
        <w:rPr>
          <w:rFonts w:ascii="Trebuchet MS" w:hAnsi="Trebuchet MS" w:cs="Times"/>
          <w:sz w:val="22"/>
          <w:szCs w:val="22"/>
          <w:lang w:val="en-GB"/>
        </w:rPr>
      </w:pPr>
    </w:p>
    <w:p w:rsidR="00374515" w:rsidP="00864A07" w:rsidRDefault="00374515" w14:paraId="771E184F" w14:textId="77777777">
      <w:pPr>
        <w:pStyle w:val="Header"/>
        <w:spacing w:before="0" w:beforeAutospacing="0" w:after="0" w:afterAutospacing="0"/>
        <w:rPr>
          <w:rFonts w:ascii="Trebuchet MS" w:hAnsi="Trebuchet MS" w:cs="Times"/>
          <w:sz w:val="22"/>
          <w:szCs w:val="22"/>
          <w:lang w:val="en-GB"/>
        </w:rPr>
      </w:pPr>
    </w:p>
    <w:p w:rsidR="004718F1" w:rsidP="00864A07" w:rsidRDefault="004718F1" w14:paraId="31363245" w14:textId="77777777">
      <w:pPr>
        <w:pStyle w:val="Header"/>
        <w:spacing w:before="0" w:beforeAutospacing="0" w:after="0" w:afterAutospacing="0"/>
        <w:rPr>
          <w:rFonts w:ascii="Trebuchet MS" w:hAnsi="Trebuchet MS" w:cs="Times"/>
          <w:sz w:val="22"/>
          <w:szCs w:val="22"/>
          <w:lang w:val="en-GB"/>
        </w:rPr>
      </w:pPr>
    </w:p>
    <w:p w:rsidR="0D56BCED" w:rsidP="0D56BCED" w:rsidRDefault="0D56BCED" w14:paraId="4C7D81F4" w14:textId="0FECB20B">
      <w:pPr>
        <w:pStyle w:val="Header"/>
      </w:pPr>
      <w:r w:rsidRPr="0D56BCED" w:rsidR="0D56BCED">
        <w:rPr>
          <w:rFonts w:ascii="Trebuchet MS" w:hAnsi="Trebuchet MS" w:eastAsia="Trebuchet MS" w:cs="Trebuchet MS"/>
          <w:sz w:val="22"/>
          <w:szCs w:val="22"/>
        </w:rPr>
        <w:t>Where a staff member feels unable to raise an issue internally, or feels that genuine concerns are not being addressed, external reporting channels are available. The NSPCC Whistleblowing Advice Line can be contacted on 0800 028 0285 or by email at help@nspcc.org.uk. Ofsted can be contacted about childcare concerns by email at enquiries@ofsted.gov.uk or by telephone on 0300 123 4666. General guidance on whistleblowing for employees is also available from GOV.UK.</w:t>
      </w:r>
    </w:p>
    <w:p w:rsidR="0D56BCED" w:rsidP="0D56BCED" w:rsidRDefault="0D56BCED" w14:paraId="0E3E5734" w14:textId="6EE80BE5">
      <w:pPr>
        <w:pStyle w:val="Heading3"/>
      </w:pPr>
      <w:r w:rsidRPr="0D56BCED" w:rsidR="0D56BCED">
        <w:rPr>
          <w:rFonts w:ascii="Arial" w:hAnsi="Arial" w:eastAsia="Arial" w:cs="Arial"/>
          <w:b w:val="1"/>
          <w:bCs w:val="1"/>
        </w:rPr>
        <w:t>Immediate safeguarding concerns</w:t>
      </w:r>
    </w:p>
    <w:p w:rsidR="0D56BCED" w:rsidP="0D56BCED" w:rsidRDefault="0D56BCED" w14:paraId="133E49BE" w14:textId="36E827BA">
      <w:pPr>
        <w:pStyle w:val="Normal"/>
      </w:pPr>
      <w:r w:rsidRPr="0D56BCED" w:rsidR="0D56BCED">
        <w:rPr>
          <w:rFonts w:ascii="Trebuchet MS" w:hAnsi="Trebuchet MS" w:eastAsia="Trebuchet MS" w:cs="Trebuchet MS"/>
          <w:sz w:val="22"/>
          <w:szCs w:val="22"/>
        </w:rPr>
        <w:t>If there is an immediate risk of harm to a child, the person raising the concern must contact emergency services on 999 without delay and notify the Setting Manager or most senior person available as soon as it is safe to do so. If a crime may have been committed but there is no immediate danger, the police should be contacted on 101.</w:t>
      </w:r>
    </w:p>
    <w:p w:rsidR="00864A07" w:rsidP="00864A07" w:rsidRDefault="00864A07" w14:paraId="5EA8D8FD" w14:textId="77777777">
      <w:pPr>
        <w:rPr>
          <w:rFonts w:ascii="Trebuchet MS" w:hAnsi="Trebuchet MS"/>
          <w:sz w:val="22"/>
          <w:szCs w:val="22"/>
          <w:lang w:val="en-US"/>
        </w:rPr>
      </w:pPr>
    </w:p>
    <w:p w:rsidRPr="00893B65" w:rsidR="00864A07" w:rsidP="00864A07" w:rsidRDefault="00864A07" w14:paraId="0E993A2E" w14:textId="77777777">
      <w:pPr>
        <w:pStyle w:val="Heading3"/>
        <w:spacing w:before="0" w:after="120"/>
        <w:rPr>
          <w:rFonts w:ascii="Arial" w:hAnsi="Arial" w:cs="Arial"/>
          <w:b/>
          <w:color w:val="auto"/>
          <w:lang w:val="en-US"/>
        </w:rPr>
      </w:pPr>
      <w:r w:rsidRPr="00893B65">
        <w:rPr>
          <w:rFonts w:ascii="Arial" w:hAnsi="Arial" w:cs="Arial"/>
          <w:b/>
          <w:color w:val="auto"/>
          <w:lang w:val="en-US"/>
        </w:rPr>
        <w:t>Responding to a concern</w:t>
      </w:r>
    </w:p>
    <w:p w:rsidR="00864A07" w:rsidP="00864A07" w:rsidRDefault="00864A07" w14:paraId="2759A924" w14:textId="77777777">
      <w:pPr>
        <w:rPr>
          <w:rFonts w:ascii="Trebuchet MS" w:hAnsi="Trebuchet MS" w:cs="Arial"/>
          <w:sz w:val="22"/>
          <w:szCs w:val="22"/>
          <w:lang w:val="en-US"/>
        </w:rPr>
      </w:pPr>
      <w:r>
        <w:rPr>
          <w:rFonts w:ascii="Trebuchet MS" w:hAnsi="Trebuchet MS" w:cs="Arial"/>
          <w:sz w:val="22"/>
          <w:szCs w:val="22"/>
          <w:lang w:val="en-US"/>
        </w:rPr>
        <w:t xml:space="preserve">Initial enquiries will usually involve a meeting with the individual raising the concern, and will decide whether an investigation is appropriate and, if so, what form it should take. If a concern relates to issues which fall within the scope of other policies, it will be addressed under those policies. </w:t>
      </w:r>
    </w:p>
    <w:p w:rsidR="00864A07" w:rsidP="00864A07" w:rsidRDefault="00864A07" w14:paraId="35BA86EC" w14:textId="77777777">
      <w:pPr>
        <w:rPr>
          <w:rFonts w:ascii="Trebuchet MS" w:hAnsi="Trebuchet MS" w:cs="Arial"/>
          <w:sz w:val="22"/>
          <w:szCs w:val="22"/>
          <w:lang w:val="en-US"/>
        </w:rPr>
      </w:pPr>
    </w:p>
    <w:p w:rsidR="0D56BCED" w:rsidP="0D56BCED" w:rsidRDefault="0D56BCED" w14:paraId="78FFF818" w14:textId="61F2BD5E">
      <w:pPr>
        <w:pStyle w:val="Normal"/>
      </w:pPr>
      <w:r w:rsidRPr="0D56BCED" w:rsidR="0D56BCED">
        <w:rPr>
          <w:rFonts w:ascii="Trebuchet MS" w:hAnsi="Trebuchet MS" w:eastAsia="Trebuchet MS" w:cs="Trebuchet MS"/>
          <w:sz w:val="22"/>
          <w:szCs w:val="22"/>
        </w:rPr>
        <w:t>If the initial meeting does not resolve the concern, further investigation will be arranged. The appropriate senior person will investigate the concerns thoroughly, keep written records, maintain confidentiality as far as reasonably possible, and provide a written response within ten working days where feasible. If this timescale is not possible, the person raising the concern will be told when a final response can be expected. The response should include how the matter was considered, the outcome where it is appropriate to share this, and who to contact if the person remains dissatisfied.</w:t>
      </w:r>
    </w:p>
    <w:p w:rsidR="0D56BCED" w:rsidP="0D56BCED" w:rsidRDefault="0D56BCED" w14:paraId="5F826F6B" w14:textId="35345920">
      <w:pPr>
        <w:pStyle w:val="Heading3"/>
      </w:pPr>
      <w:r w:rsidRPr="0D56BCED" w:rsidR="0D56BCED">
        <w:rPr>
          <w:rFonts w:ascii="Arial" w:hAnsi="Arial" w:eastAsia="Arial" w:cs="Arial"/>
          <w:b w:val="1"/>
          <w:bCs w:val="1"/>
        </w:rPr>
        <w:t>Record keeping and confidentiality</w:t>
      </w:r>
    </w:p>
    <w:p w:rsidR="0D56BCED" w:rsidP="0D56BCED" w:rsidRDefault="0D56BCED" w14:paraId="2DC02F05" w14:textId="5C6ECB99">
      <w:pPr>
        <w:pStyle w:val="Normal"/>
      </w:pPr>
      <w:r w:rsidRPr="0D56BCED" w:rsidR="0D56BCED">
        <w:rPr>
          <w:rFonts w:ascii="Trebuchet MS" w:hAnsi="Trebuchet MS" w:eastAsia="Trebuchet MS" w:cs="Trebuchet MS"/>
          <w:sz w:val="22"/>
          <w:szCs w:val="22"/>
        </w:rPr>
        <w:t>All whistleblowing concerns, decisions, actions and outcomes will be recorded securely and shared only with those who need the information in order to investigate, safeguard, comply with legal duties or manage risk. Records will be retained in line with the organisation’s data protection and record retention procedures.</w:t>
      </w:r>
    </w:p>
    <w:p w:rsidR="00864A07" w:rsidP="00864A07" w:rsidRDefault="00864A07" w14:paraId="7F46ABB2" w14:textId="77777777">
      <w:pPr>
        <w:pStyle w:val="Header"/>
        <w:spacing w:before="0" w:beforeAutospacing="0" w:after="0" w:afterAutospacing="0"/>
        <w:rPr>
          <w:rFonts w:ascii="Trebuchet MS" w:hAnsi="Trebuchet MS" w:cs="Times"/>
          <w:b/>
          <w:color w:val="000000"/>
          <w:sz w:val="22"/>
          <w:szCs w:val="22"/>
          <w:lang w:val="en-GB"/>
        </w:rPr>
      </w:pPr>
    </w:p>
    <w:p w:rsidR="00864A07" w:rsidP="00864A07" w:rsidRDefault="00864A07" w14:paraId="5535C8B8" w14:textId="77777777">
      <w:pPr>
        <w:pStyle w:val="Header"/>
        <w:keepNext/>
        <w:spacing w:before="0" w:beforeAutospacing="0" w:after="120" w:afterAutospacing="0"/>
        <w:rPr>
          <w:rFonts w:ascii="Arial" w:hAnsi="Arial" w:cs="Arial"/>
          <w:b/>
          <w:color w:val="000000"/>
          <w:lang w:val="en-GB"/>
        </w:rPr>
      </w:pPr>
      <w:r w:rsidRPr="0D56BCED" w:rsidR="13F99861">
        <w:rPr>
          <w:rFonts w:ascii="Arial" w:hAnsi="Arial" w:cs="Arial"/>
          <w:b w:val="1"/>
          <w:bCs w:val="1"/>
          <w:color w:val="000000" w:themeColor="text1" w:themeTint="FF" w:themeShade="FF"/>
          <w:lang w:val="en-GB"/>
        </w:rPr>
        <w:t>Rights and responsibilities of the whistle-blower</w:t>
      </w:r>
    </w:p>
    <w:p w:rsidR="0D56BCED" w:rsidP="0D56BCED" w:rsidRDefault="0D56BCED" w14:paraId="69E06533" w14:textId="4B0C1C41">
      <w:pPr>
        <w:pStyle w:val="Normal"/>
      </w:pPr>
      <w:r w:rsidRPr="0D56BCED" w:rsidR="0D56BCED">
        <w:rPr>
          <w:rFonts w:ascii="Trebuchet MS" w:hAnsi="Trebuchet MS" w:eastAsia="Trebuchet MS" w:cs="Trebuchet MS"/>
          <w:sz w:val="22"/>
          <w:szCs w:val="22"/>
        </w:rPr>
        <w:t>All concerns will be treated in confidence as far as reasonably possible. Kidspace Wrap Around Care will make every effort not to reveal the identity of anyone raising a concern in good faith. However, there may be circumstances where information must be shared, for example to protect a child, comply with legal duties, support an investigation or enable action by an external agency. At the appropriate time, the member of staff may need to come forward as a witness.</w:t>
      </w:r>
    </w:p>
    <w:p w:rsidR="00864A07" w:rsidP="00864A07" w:rsidRDefault="00864A07" w14:paraId="4DAC04A4" w14:textId="77777777">
      <w:pPr>
        <w:rPr>
          <w:rFonts w:ascii="Trebuchet MS" w:hAnsi="Trebuchet MS"/>
          <w:sz w:val="22"/>
          <w:szCs w:val="22"/>
          <w:lang w:val="en-US"/>
        </w:rPr>
      </w:pPr>
    </w:p>
    <w:p w:rsidR="00864A07" w:rsidP="00864A07" w:rsidRDefault="00864A07" w14:paraId="5B3AE84F" w14:textId="77777777">
      <w:pPr>
        <w:rPr>
          <w:rFonts w:ascii="Trebuchet MS" w:hAnsi="Trebuchet MS"/>
          <w:sz w:val="22"/>
          <w:szCs w:val="22"/>
          <w:lang w:val="en-US"/>
        </w:rPr>
      </w:pPr>
      <w:r>
        <w:rPr>
          <w:rFonts w:ascii="Trebuchet MS" w:hAnsi="Trebuchet MS"/>
          <w:sz w:val="22"/>
          <w:szCs w:val="22"/>
          <w:lang w:val="en-US"/>
        </w:rPr>
        <w:t>If a member of staff raises a concern in good faith which is then not confirmed by the investigation, no action will be taken against that person.</w:t>
      </w:r>
    </w:p>
    <w:p w:rsidR="00864A07" w:rsidP="00864A07" w:rsidRDefault="00864A07" w14:paraId="7DEF0BA4" w14:textId="77777777">
      <w:pPr>
        <w:rPr>
          <w:rFonts w:ascii="Trebuchet MS" w:hAnsi="Trebuchet MS"/>
          <w:sz w:val="22"/>
          <w:szCs w:val="22"/>
          <w:lang w:val="en-US"/>
        </w:rPr>
      </w:pPr>
    </w:p>
    <w:p w:rsidR="00864A07" w:rsidP="00864A07" w:rsidRDefault="00864A07" w14:paraId="569E96D3" w14:textId="77777777">
      <w:pPr>
        <w:rPr>
          <w:rFonts w:ascii="Trebuchet MS" w:hAnsi="Trebuchet MS"/>
          <w:sz w:val="22"/>
          <w:szCs w:val="22"/>
          <w:lang w:val="en-US"/>
        </w:rPr>
      </w:pPr>
      <w:r>
        <w:rPr>
          <w:rFonts w:ascii="Trebuchet MS" w:hAnsi="Trebuchet MS"/>
          <w:sz w:val="22"/>
          <w:szCs w:val="22"/>
          <w:lang w:val="en-US"/>
        </w:rPr>
        <w:t>If the investigation concludes that the member of staff maliciously fabricated the allegations, disciplinary action may be taken against that person.</w:t>
      </w:r>
    </w:p>
    <w:p w:rsidR="00864A07" w:rsidP="00864A07" w:rsidRDefault="00864A07" w14:paraId="1D0D0D6C" w14:textId="77777777">
      <w:pPr>
        <w:pStyle w:val="Header"/>
        <w:spacing w:before="0" w:beforeAutospacing="0" w:after="0" w:afterAutospacing="0"/>
        <w:rPr>
          <w:rFonts w:ascii="Trebuchet MS" w:hAnsi="Trebuchet MS" w:cs="Times"/>
          <w:color w:val="000000"/>
          <w:lang w:val="en-GB"/>
        </w:rPr>
      </w:pPr>
    </w:p>
    <w:p w:rsidR="00864A07" w:rsidP="00864A07" w:rsidRDefault="00864A07" w14:paraId="18C8A9E0" w14:textId="77777777">
      <w:pPr>
        <w:spacing w:after="120"/>
        <w:rPr>
          <w:rFonts w:ascii="Arial" w:hAnsi="Arial" w:cs="Arial"/>
          <w:b/>
        </w:rPr>
      </w:pPr>
      <w:r w:rsidRPr="0D56BCED" w:rsidR="13F99861">
        <w:rPr>
          <w:rFonts w:ascii="Arial" w:hAnsi="Arial" w:cs="Arial"/>
          <w:b w:val="1"/>
          <w:bCs w:val="1"/>
        </w:rPr>
        <w:t>Contact information</w:t>
      </w:r>
    </w:p>
    <w:p w:rsidR="0D56BCED" w:rsidP="0D56BCED" w:rsidRDefault="0D56BCED" w14:paraId="51650AE9" w14:textId="6FC647EE">
      <w:pPr>
        <w:pStyle w:val="Normal"/>
      </w:pPr>
      <w:r w:rsidRPr="0D56BCED" w:rsidR="0D56BCED">
        <w:rPr>
          <w:rFonts w:ascii="Trebuchet MS" w:hAnsi="Trebuchet MS" w:eastAsia="Trebuchet MS" w:cs="Trebuchet MS"/>
          <w:sz w:val="22"/>
          <w:szCs w:val="22"/>
        </w:rPr>
        <w:t>Leicestershire LADO: for allegations or concerns about an adult working or volunteering with children in a Leicestershire setting, complete the Leicestershire County Council LADO referral process. For enquiries about matters already open to the LADO service, email cfs-lado@leics.gov.uk or call 0116 305 4141 to leave a message. The LADO service operates during office hours; outside office hours, contact Leicestershire First Response Children’s Duty Team.</w:t>
      </w:r>
    </w:p>
    <w:p w:rsidR="0D56BCED" w:rsidP="0D56BCED" w:rsidRDefault="0D56BCED" w14:paraId="057192F8" w14:textId="7CE6D499">
      <w:pPr>
        <w:pStyle w:val="Normal"/>
      </w:pPr>
      <w:r w:rsidRPr="0D56BCED" w:rsidR="0D56BCED">
        <w:rPr>
          <w:rFonts w:ascii="Trebuchet MS" w:hAnsi="Trebuchet MS" w:eastAsia="Trebuchet MS" w:cs="Trebuchet MS"/>
          <w:sz w:val="22"/>
          <w:szCs w:val="22"/>
        </w:rPr>
        <w:t>Leicestershire First Response Children’s Duty Team: for urgent concerns that a child needs a social worker or police officer the same day, call 0116 305 0005. This is a 24-hour phone line, including out of hours. Professionals should use the Multi-Agency Referral Form where appropriate.</w:t>
      </w:r>
      <w:r w:rsidRPr="0D56BCED" w:rsidR="0D56BCED">
        <w:rPr>
          <w:rFonts w:ascii="Trebuchet MS" w:hAnsi="Trebuchet MS" w:eastAsia="Trebuchet MS" w:cs="Trebuchet MS"/>
          <w:sz w:val="22"/>
          <w:szCs w:val="22"/>
        </w:rPr>
        <w:t>Ofsted: enquiries@ofsted.gov.uk / 0300 123 4666</w:t>
      </w:r>
    </w:p>
    <w:p w:rsidR="0D56BCED" w:rsidP="0D56BCED" w:rsidRDefault="0D56BCED" w14:paraId="64D9BC51" w14:textId="6344F1C7">
      <w:pPr>
        <w:pStyle w:val="Normal"/>
      </w:pPr>
      <w:r w:rsidRPr="0D56BCED" w:rsidR="0D56BCED">
        <w:rPr>
          <w:rFonts w:ascii="Trebuchet MS" w:hAnsi="Trebuchet MS" w:eastAsia="Trebuchet MS" w:cs="Trebuchet MS"/>
          <w:sz w:val="22"/>
          <w:szCs w:val="22"/>
        </w:rPr>
        <w:t>Protect: 020 3117 2520. NSPCC Whistleblowing Advice Line: 0800 028 0285 / help@nspcc.org.uk.</w:t>
      </w:r>
    </w:p>
    <w:p w:rsidR="00864A07" w:rsidP="00864A07" w:rsidRDefault="00864A07" w14:paraId="20A129D1" w14:textId="77777777">
      <w:pPr>
        <w:rPr>
          <w:rFonts w:ascii="Trebuchet MS" w:hAnsi="Trebuchet MS"/>
          <w:sz w:val="22"/>
          <w:szCs w:val="22"/>
        </w:rPr>
      </w:pPr>
    </w:p>
    <w:p w:rsidR="00864A07" w:rsidP="00864A07" w:rsidRDefault="00864A07" w14:paraId="61CDFA36" w14:textId="77777777">
      <w:pPr>
        <w:spacing w:after="120"/>
        <w:rPr>
          <w:rFonts w:ascii="Arial" w:hAnsi="Arial" w:cs="Arial"/>
          <w:b/>
        </w:rPr>
      </w:pPr>
      <w:r w:rsidRPr="0D56BCED" w:rsidR="13F99861">
        <w:rPr>
          <w:rFonts w:ascii="Arial" w:hAnsi="Arial" w:cs="Arial"/>
          <w:b w:val="1"/>
          <w:bCs w:val="1"/>
        </w:rPr>
        <w:t>Related policies</w:t>
      </w:r>
    </w:p>
    <w:p w:rsidR="0D56BCED" w:rsidP="0D56BCED" w:rsidRDefault="0D56BCED" w14:paraId="5D12A429" w14:textId="5694F885">
      <w:pPr>
        <w:pStyle w:val="Normal"/>
      </w:pPr>
      <w:r w:rsidRPr="0D56BCED" w:rsidR="0D56BCED">
        <w:rPr>
          <w:rFonts w:ascii="Trebuchet MS" w:hAnsi="Trebuchet MS" w:eastAsia="Trebuchet MS" w:cs="Trebuchet MS"/>
          <w:b w:val="1"/>
          <w:bCs w:val="1"/>
          <w:sz w:val="22"/>
          <w:szCs w:val="22"/>
        </w:rPr>
        <w:t>Safeguarding Children policy, Staff Grievance policy, Staff Disciplinary policy, Equality and Diversity policy, Complaints policy, Data Protection policy, Safer Recruitment policy, Code of Conduct.</w:t>
      </w:r>
    </w:p>
    <w:p w:rsidR="00D67153" w:rsidP="00D67153" w:rsidRDefault="00D67153" w14:paraId="335991FA" w14:textId="77777777">
      <w:pPr>
        <w:spacing w:before="120"/>
        <w:rPr>
          <w:rFonts w:ascii="Trebuchet MS" w:hAnsi="Trebuchet MS" w:cs="Tahoma"/>
          <w:sz w:val="20"/>
          <w:szCs w:val="20"/>
        </w:rPr>
      </w:pPr>
      <w:r>
        <w:rPr>
          <w:rFonts w:ascii="Trebuchet MS" w:hAnsi="Trebuchet MS" w:cs="Tahoma"/>
          <w:sz w:val="20"/>
          <w:szCs w:val="20"/>
        </w:rPr>
        <w:t xml:space="preserve">Written in accordance with the </w:t>
      </w:r>
      <w:r>
        <w:rPr>
          <w:rFonts w:ascii="Trebuchet MS" w:hAnsi="Trebuchet MS" w:cs="Tahoma"/>
          <w:i/>
          <w:sz w:val="20"/>
          <w:szCs w:val="20"/>
        </w:rPr>
        <w:t xml:space="preserve">Statutory Framework for the Early Years Foundation Stage (2025): Safeguarding and Welfare requirements: Whistleblowing [3.7, 3.8] </w:t>
      </w:r>
    </w:p>
    <w:p w:rsidR="00864A07" w:rsidP="00864A07" w:rsidRDefault="00864A07" w14:paraId="1CEB590D" w14:textId="77777777">
      <w:pPr>
        <w:pStyle w:val="BodyText"/>
        <w:rPr>
          <w:sz w:val="16"/>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6"/>
        <w:gridCol w:w="3660"/>
      </w:tblGrid>
      <w:tr w:rsidR="00864A07" w:rsidTr="0D56BCED" w14:paraId="5364A5E2" w14:textId="77777777">
        <w:trPr>
          <w:trHeight w:val="466"/>
        </w:trPr>
        <w:tc>
          <w:tcPr>
            <w:tcW w:w="297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0D56BCED" w:rsidP="0D56BCED" w:rsidRDefault="0D56BCED" w14:paraId="10FE1C4C" w14:textId="0D0335A6">
            <w:pPr>
              <w:pStyle w:val="Normal"/>
            </w:pPr>
            <w:r w:rsidRPr="0D56BCED" w:rsidR="0D56BCED">
              <w:rPr>
                <w:rFonts w:ascii="Trebuchet MS" w:hAnsi="Trebuchet MS" w:eastAsia="Trebuchet MS" w:cs="Trebuchet MS"/>
                <w:sz w:val="22"/>
                <w:szCs w:val="22"/>
              </w:rPr>
              <w:t>This policy was adopted by: Kidspace Wrap Around Care</w:t>
            </w:r>
          </w:p>
          <w:p w:rsidR="00864A07" w:rsidP="0037370C" w:rsidRDefault="00864A07" w14:paraId="7CA4B5DD" w14:textId="77777777">
            <w:pPr>
              <w:rPr>
                <w:rFonts w:ascii="Trebuchet MS" w:hAnsi="Trebuchet MS" w:cs="Arial"/>
                <w:sz w:val="22"/>
                <w:szCs w:val="22"/>
              </w:rPr>
            </w:pPr>
          </w:p>
        </w:tc>
        <w:tc>
          <w:tcPr>
            <w:tcW w:w="203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0D56BCED" w:rsidP="0D56BCED" w:rsidRDefault="0D56BCED" w14:paraId="4CD15DD6" w14:textId="156FF02B">
            <w:pPr>
              <w:pStyle w:val="Normal"/>
            </w:pPr>
            <w:r w:rsidRPr="0D56BCED" w:rsidR="0D56BCED">
              <w:rPr>
                <w:rFonts w:ascii="Trebuchet MS" w:hAnsi="Trebuchet MS" w:eastAsia="Trebuchet MS" w:cs="Trebuchet MS"/>
                <w:sz w:val="22"/>
                <w:szCs w:val="22"/>
              </w:rPr>
              <w:t>Date updated: 1st August 2026</w:t>
            </w:r>
          </w:p>
        </w:tc>
      </w:tr>
      <w:tr w:rsidR="00864A07" w:rsidTr="0D56BCED" w14:paraId="671296D0" w14:textId="77777777">
        <w:trPr>
          <w:trHeight w:val="455"/>
        </w:trPr>
        <w:tc>
          <w:tcPr>
            <w:tcW w:w="297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0D56BCED" w:rsidP="0D56BCED" w:rsidRDefault="0D56BCED" w14:paraId="0B33B779" w14:textId="713F521B">
            <w:pPr>
              <w:pStyle w:val="Normal"/>
            </w:pPr>
            <w:r w:rsidRPr="0D56BCED" w:rsidR="0D56BCED">
              <w:rPr>
                <w:rFonts w:ascii="Trebuchet MS" w:hAnsi="Trebuchet MS" w:eastAsia="Trebuchet MS" w:cs="Trebuchet MS"/>
                <w:sz w:val="22"/>
                <w:szCs w:val="22"/>
              </w:rPr>
              <w:t>Next review: August 2027</w:t>
            </w:r>
          </w:p>
          <w:p w:rsidR="00864A07" w:rsidP="0037370C" w:rsidRDefault="00864A07" w14:paraId="4E6908DE" w14:textId="77777777">
            <w:pPr>
              <w:rPr>
                <w:rFonts w:ascii="Trebuchet MS" w:hAnsi="Trebuchet MS" w:cs="Arial"/>
                <w:sz w:val="22"/>
                <w:szCs w:val="22"/>
              </w:rPr>
            </w:pPr>
          </w:p>
        </w:tc>
        <w:tc>
          <w:tcPr>
            <w:tcW w:w="203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0D56BCED" w:rsidP="0D56BCED" w:rsidRDefault="0D56BCED" w14:paraId="66C14233" w14:textId="2469553E">
            <w:pPr>
              <w:pStyle w:val="Normal"/>
            </w:pPr>
            <w:r w:rsidRPr="0D56BCED" w:rsidR="0D56BCED">
              <w:rPr>
                <w:rFonts w:ascii="Trebuchet MS" w:hAnsi="Trebuchet MS" w:eastAsia="Trebuchet MS" w:cs="Trebuchet MS"/>
                <w:sz w:val="22"/>
                <w:szCs w:val="22"/>
              </w:rPr>
              <w:t>Reviewed by: K Robinson</w:t>
            </w:r>
          </w:p>
        </w:tc>
      </w:tr>
    </w:tbl>
    <w:p w:rsidR="00E90787" w:rsidP="001255D1" w:rsidRDefault="00E90787" w14:paraId="4545AD27" w14:textId="77777777">
      <w:pPr>
        <w:pStyle w:val="NormalWeb"/>
        <w:spacing w:before="0" w:beforeAutospacing="0" w:after="0" w:afterAutospacing="0"/>
        <w:textAlignment w:val="baseline"/>
        <w:rPr>
          <w:rFonts w:ascii="Trebuchet MS" w:hAnsi="Trebuchet MS"/>
          <w:color w:val="000000"/>
          <w:sz w:val="22"/>
          <w:szCs w:val="22"/>
        </w:rPr>
      </w:pPr>
    </w:p>
    <w:p w:rsidR="00E90787" w:rsidP="001255D1" w:rsidRDefault="00E90787" w14:paraId="20E5040E" w14:textId="77777777">
      <w:pPr>
        <w:pStyle w:val="NormalWeb"/>
        <w:spacing w:before="0" w:beforeAutospacing="0" w:after="0" w:afterAutospacing="0"/>
        <w:textAlignment w:val="baseline"/>
        <w:rPr>
          <w:rFonts w:ascii="Trebuchet MS" w:hAnsi="Trebuchet MS"/>
          <w:color w:val="000000"/>
          <w:sz w:val="22"/>
          <w:szCs w:val="22"/>
        </w:rPr>
      </w:pPr>
    </w:p>
    <w:sectPr w:rsidRPr="00C636E7" w:rsidR="00C636E7" w:rsidSect="00A17E25">
      <w:pgSz w:w="11906" w:h="16838" w:orient="portrait"/>
      <w:pgMar w:top="1440" w:right="1440" w:bottom="90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31d20c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4873A9"/>
    <w:multiLevelType w:val="multilevel"/>
    <w:tmpl w:val="F7B8D1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5D61E87"/>
    <w:multiLevelType w:val="hybridMultilevel"/>
    <w:tmpl w:val="9E70CD1A"/>
    <w:lvl w:ilvl="0" w:tplc="A51EEC96">
      <w:start w:val="1"/>
      <w:numFmt w:val="bullet"/>
      <w:lvlText w:val=""/>
      <w:lvlJc w:val="left"/>
      <w:pPr>
        <w:tabs>
          <w:tab w:val="num" w:pos="284"/>
        </w:tabs>
        <w:ind w:left="284" w:hanging="284"/>
      </w:pPr>
      <w:rPr>
        <w:rFonts w:hint="default" w:ascii="Symbol" w:hAnsi="Symbol"/>
        <w:sz w:val="22"/>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3658161F"/>
    <w:multiLevelType w:val="multilevel"/>
    <w:tmpl w:val="A092942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3761023"/>
    <w:multiLevelType w:val="hybridMultilevel"/>
    <w:tmpl w:val="7BB698DE"/>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Times New Roman"/>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imes New Roman"/>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imes New Roman"/>
      </w:rPr>
    </w:lvl>
    <w:lvl w:ilvl="8" w:tplc="04090005">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5B2031E3"/>
    <w:multiLevelType w:val="hybridMultilevel"/>
    <w:tmpl w:val="18F6ECAC"/>
    <w:lvl w:ilvl="0" w:tplc="A51EEC96">
      <w:start w:val="1"/>
      <w:numFmt w:val="bullet"/>
      <w:lvlText w:val=""/>
      <w:lvlJc w:val="left"/>
      <w:pPr>
        <w:tabs>
          <w:tab w:val="num" w:pos="284"/>
        </w:tabs>
        <w:ind w:left="284" w:hanging="284"/>
      </w:pPr>
      <w:rPr>
        <w:rFonts w:hint="default" w:ascii="Symbol" w:hAnsi="Symbol"/>
        <w:sz w:val="22"/>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5D1949F8"/>
    <w:multiLevelType w:val="hybridMultilevel"/>
    <w:tmpl w:val="C54EC73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7">
    <w:abstractNumId w:val="6"/>
  </w:num>
  <w:num w:numId="1" w16cid:durableId="1835560815">
    <w:abstractNumId w:val="3"/>
  </w:num>
  <w:num w:numId="2" w16cid:durableId="430275019">
    <w:abstractNumId w:val="5"/>
  </w:num>
  <w:num w:numId="3" w16cid:durableId="1017464561">
    <w:abstractNumId w:val="4"/>
  </w:num>
  <w:num w:numId="4" w16cid:durableId="1578587561">
    <w:abstractNumId w:val="1"/>
  </w:num>
  <w:num w:numId="5" w16cid:durableId="1712804542">
    <w:abstractNumId w:val="2"/>
  </w:num>
  <w:num w:numId="6" w16cid:durableId="143591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16"/>
    <w:rsid w:val="00044CE1"/>
    <w:rsid w:val="00051D3B"/>
    <w:rsid w:val="000815C5"/>
    <w:rsid w:val="000D0722"/>
    <w:rsid w:val="001255D1"/>
    <w:rsid w:val="001355B8"/>
    <w:rsid w:val="001356AF"/>
    <w:rsid w:val="0014585C"/>
    <w:rsid w:val="00292BDF"/>
    <w:rsid w:val="002B25C6"/>
    <w:rsid w:val="002F6DB1"/>
    <w:rsid w:val="00374515"/>
    <w:rsid w:val="003C08BE"/>
    <w:rsid w:val="003F426D"/>
    <w:rsid w:val="00422C2C"/>
    <w:rsid w:val="004237C4"/>
    <w:rsid w:val="004433EA"/>
    <w:rsid w:val="00447AC9"/>
    <w:rsid w:val="004718F1"/>
    <w:rsid w:val="00473A9F"/>
    <w:rsid w:val="004B06A6"/>
    <w:rsid w:val="0063539D"/>
    <w:rsid w:val="006403E9"/>
    <w:rsid w:val="00651003"/>
    <w:rsid w:val="006561A9"/>
    <w:rsid w:val="00782FF8"/>
    <w:rsid w:val="00821EE7"/>
    <w:rsid w:val="00832AFB"/>
    <w:rsid w:val="00864A07"/>
    <w:rsid w:val="00893B65"/>
    <w:rsid w:val="008A4D16"/>
    <w:rsid w:val="008D58AD"/>
    <w:rsid w:val="00931D8C"/>
    <w:rsid w:val="00A17E25"/>
    <w:rsid w:val="00B62342"/>
    <w:rsid w:val="00B7272A"/>
    <w:rsid w:val="00C636E7"/>
    <w:rsid w:val="00CD208D"/>
    <w:rsid w:val="00D20192"/>
    <w:rsid w:val="00D67153"/>
    <w:rsid w:val="00DF2F9F"/>
    <w:rsid w:val="00E20A49"/>
    <w:rsid w:val="00E8670C"/>
    <w:rsid w:val="00E90787"/>
    <w:rsid w:val="00EC78AA"/>
    <w:rsid w:val="00EE356B"/>
    <w:rsid w:val="00F37F22"/>
    <w:rsid w:val="00F51948"/>
    <w:rsid w:val="00FC09F8"/>
    <w:rsid w:val="00FC7E80"/>
    <w:rsid w:val="068F5EE2"/>
    <w:rsid w:val="0D56BCED"/>
    <w:rsid w:val="13F99861"/>
    <w:rsid w:val="2E213C9A"/>
    <w:rsid w:val="62787B7D"/>
    <w:rsid w:val="7DC33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14DB3"/>
  <w15:chartTrackingRefBased/>
  <w15:docId w15:val="{E582E94E-16AE-41D4-A798-8378B6CF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4D16"/>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8A4D16"/>
    <w:pPr>
      <w:keepNext/>
      <w:spacing w:before="120" w:after="120"/>
      <w:jc w:val="center"/>
      <w:outlineLvl w:val="0"/>
    </w:pPr>
    <w:rPr>
      <w:rFonts w:ascii="Arial" w:hAnsi="Arial" w:eastAsia="Times"/>
      <w:b/>
      <w:sz w:val="32"/>
      <w:szCs w:val="32"/>
      <w:u w:val="single"/>
      <w:lang w:eastAsia="en-GB"/>
    </w:rPr>
  </w:style>
  <w:style w:type="paragraph" w:styleId="Heading2">
    <w:name w:val="heading 2"/>
    <w:basedOn w:val="Normal"/>
    <w:next w:val="Normal"/>
    <w:link w:val="Heading2Char"/>
    <w:uiPriority w:val="9"/>
    <w:semiHidden/>
    <w:unhideWhenUsed/>
    <w:qFormat/>
    <w:rsid w:val="00FC09F8"/>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C09F8"/>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8A4D16"/>
    <w:rPr>
      <w:rFonts w:ascii="Arial" w:hAnsi="Arial" w:eastAsia="Times" w:cs="Times New Roman"/>
      <w:b/>
      <w:sz w:val="32"/>
      <w:szCs w:val="32"/>
      <w:u w:val="single"/>
      <w:lang w:eastAsia="en-GB"/>
    </w:rPr>
  </w:style>
  <w:style w:type="paragraph" w:styleId="policybody" w:customStyle="1">
    <w:name w:val="policybody"/>
    <w:basedOn w:val="Normal"/>
    <w:rsid w:val="00832AFB"/>
    <w:pPr>
      <w:spacing w:before="120" w:after="120"/>
    </w:pPr>
    <w:rPr>
      <w:rFonts w:ascii="Trebuchet MS" w:hAnsi="Trebuchet MS"/>
      <w:sz w:val="22"/>
      <w:szCs w:val="22"/>
    </w:rPr>
  </w:style>
  <w:style w:type="character" w:styleId="Heading2Char" w:customStyle="1">
    <w:name w:val="Heading 2 Char"/>
    <w:basedOn w:val="DefaultParagraphFont"/>
    <w:link w:val="Heading2"/>
    <w:uiPriority w:val="9"/>
    <w:semiHidden/>
    <w:rsid w:val="00FC09F8"/>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rsid w:val="00FC09F8"/>
    <w:rPr>
      <w:rFonts w:asciiTheme="majorHAnsi" w:hAnsiTheme="majorHAnsi" w:eastAsiaTheme="majorEastAsia" w:cstheme="majorBidi"/>
      <w:color w:val="1F3763" w:themeColor="accent1" w:themeShade="7F"/>
      <w:sz w:val="24"/>
      <w:szCs w:val="24"/>
    </w:rPr>
  </w:style>
  <w:style w:type="character" w:styleId="Hyperlink">
    <w:name w:val="Hyperlink"/>
    <w:unhideWhenUsed/>
    <w:rsid w:val="00FC09F8"/>
    <w:rPr>
      <w:color w:val="0000FF"/>
      <w:u w:val="single"/>
    </w:rPr>
  </w:style>
  <w:style w:type="paragraph" w:styleId="Header">
    <w:name w:val="header"/>
    <w:basedOn w:val="Normal"/>
    <w:link w:val="HeaderChar"/>
    <w:semiHidden/>
    <w:unhideWhenUsed/>
    <w:rsid w:val="00FC09F8"/>
    <w:pPr>
      <w:spacing w:before="100" w:beforeAutospacing="1" w:after="100" w:afterAutospacing="1"/>
    </w:pPr>
    <w:rPr>
      <w:lang w:val="en-US"/>
    </w:rPr>
  </w:style>
  <w:style w:type="character" w:styleId="HeaderChar" w:customStyle="1">
    <w:name w:val="Header Char"/>
    <w:basedOn w:val="DefaultParagraphFont"/>
    <w:link w:val="Header"/>
    <w:semiHidden/>
    <w:rsid w:val="00FC09F8"/>
    <w:rPr>
      <w:rFonts w:ascii="Times New Roman" w:hAnsi="Times New Roman" w:eastAsia="Times New Roman" w:cs="Times New Roman"/>
      <w:sz w:val="24"/>
      <w:szCs w:val="24"/>
      <w:lang w:val="en-US"/>
    </w:rPr>
  </w:style>
  <w:style w:type="paragraph" w:styleId="BodyText">
    <w:name w:val="Body Text"/>
    <w:basedOn w:val="Normal"/>
    <w:link w:val="BodyTextChar"/>
    <w:semiHidden/>
    <w:unhideWhenUsed/>
    <w:rsid w:val="00FC09F8"/>
    <w:rPr>
      <w:rFonts w:ascii="Trebuchet MS" w:hAnsi="Trebuchet MS"/>
      <w:sz w:val="22"/>
    </w:rPr>
  </w:style>
  <w:style w:type="character" w:styleId="BodyTextChar" w:customStyle="1">
    <w:name w:val="Body Text Char"/>
    <w:basedOn w:val="DefaultParagraphFont"/>
    <w:link w:val="BodyText"/>
    <w:semiHidden/>
    <w:rsid w:val="00FC09F8"/>
    <w:rPr>
      <w:rFonts w:ascii="Trebuchet MS" w:hAnsi="Trebuchet MS" w:eastAsia="Times New Roman" w:cs="Times New Roman"/>
      <w:szCs w:val="24"/>
    </w:rPr>
  </w:style>
  <w:style w:type="character" w:styleId="Strong">
    <w:name w:val="Strong"/>
    <w:basedOn w:val="DefaultParagraphFont"/>
    <w:qFormat/>
    <w:rsid w:val="00FC09F8"/>
    <w:rPr>
      <w:b/>
      <w:bCs/>
    </w:rPr>
  </w:style>
  <w:style w:type="character" w:styleId="FollowedHyperlink">
    <w:name w:val="FollowedHyperlink"/>
    <w:basedOn w:val="DefaultParagraphFont"/>
    <w:uiPriority w:val="99"/>
    <w:semiHidden/>
    <w:unhideWhenUsed/>
    <w:rsid w:val="00FC09F8"/>
    <w:rPr>
      <w:color w:val="954F72" w:themeColor="followedHyperlink"/>
      <w:u w:val="single"/>
    </w:rPr>
  </w:style>
  <w:style w:type="character" w:styleId="UnresolvedMention">
    <w:name w:val="Unresolved Mention"/>
    <w:basedOn w:val="DefaultParagraphFont"/>
    <w:uiPriority w:val="99"/>
    <w:semiHidden/>
    <w:unhideWhenUsed/>
    <w:rsid w:val="00044CE1"/>
    <w:rPr>
      <w:color w:val="605E5C"/>
      <w:shd w:val="clear" w:color="auto" w:fill="E1DFDD"/>
    </w:rPr>
  </w:style>
  <w:style w:type="paragraph" w:styleId="NormalWeb">
    <w:name w:val="Normal (Web)"/>
    <w:basedOn w:val="Normal"/>
    <w:uiPriority w:val="99"/>
    <w:semiHidden/>
    <w:unhideWhenUsed/>
    <w:rsid w:val="00931D8C"/>
    <w:pPr>
      <w:spacing w:before="100" w:beforeAutospacing="1" w:after="100" w:afterAutospacing="1"/>
    </w:pPr>
    <w:rPr>
      <w:rFonts w:ascii="Aptos" w:hAnsi="Aptos" w:cs="Aptos" w:eastAsiaTheme="minorHAnsi"/>
      <w:lang w:eastAsia="en-GB"/>
    </w:rPr>
  </w:style>
  <w:style w:type="paragraph" w:styleId="ListParagraph">
    <w:uiPriority w:val="34"/>
    <w:name w:val="List Paragraph"/>
    <w:basedOn w:val="Normal"/>
    <w:qFormat/>
    <w:rsid w:val="0D56BCE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2339">
      <w:bodyDiv w:val="1"/>
      <w:marLeft w:val="0"/>
      <w:marRight w:val="0"/>
      <w:marTop w:val="0"/>
      <w:marBottom w:val="0"/>
      <w:divBdr>
        <w:top w:val="none" w:sz="0" w:space="0" w:color="auto"/>
        <w:left w:val="none" w:sz="0" w:space="0" w:color="auto"/>
        <w:bottom w:val="none" w:sz="0" w:space="0" w:color="auto"/>
        <w:right w:val="none" w:sz="0" w:space="0" w:color="auto"/>
      </w:divBdr>
    </w:div>
    <w:div w:id="1349794154">
      <w:bodyDiv w:val="1"/>
      <w:marLeft w:val="0"/>
      <w:marRight w:val="0"/>
      <w:marTop w:val="0"/>
      <w:marBottom w:val="0"/>
      <w:divBdr>
        <w:top w:val="none" w:sz="0" w:space="0" w:color="auto"/>
        <w:left w:val="none" w:sz="0" w:space="0" w:color="auto"/>
        <w:bottom w:val="none" w:sz="0" w:space="0" w:color="auto"/>
        <w:right w:val="none" w:sz="0" w:space="0" w:color="auto"/>
      </w:divBdr>
    </w:div>
    <w:div w:id="2092116942">
      <w:bodyDiv w:val="1"/>
      <w:marLeft w:val="0"/>
      <w:marRight w:val="0"/>
      <w:marTop w:val="0"/>
      <w:marBottom w:val="0"/>
      <w:divBdr>
        <w:top w:val="none" w:sz="0" w:space="0" w:color="auto"/>
        <w:left w:val="none" w:sz="0" w:space="0" w:color="auto"/>
        <w:bottom w:val="none" w:sz="0" w:space="0" w:color="auto"/>
        <w:right w:val="none" w:sz="0" w:space="0" w:color="auto"/>
      </w:divBdr>
    </w:div>
    <w:div w:id="213956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3</revision>
  <lastPrinted>2024-06-25T10:11:00.0000000Z</lastPrinted>
  <dcterms:created xsi:type="dcterms:W3CDTF">2026-05-06T15:09:00.0000000Z</dcterms:created>
  <dcterms:modified xsi:type="dcterms:W3CDTF">2026-06-24T21:37:44.8555533Z</dcterms:modified>
</coreProperties>
</file>